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b/>
          <w:bCs/>
          <w:i w:val="0"/>
          <w:iCs w:val="0"/>
          <w:caps w:val="0"/>
          <w:color w:val="000000"/>
          <w:spacing w:val="0"/>
          <w:sz w:val="32"/>
          <w:szCs w:val="32"/>
          <w:shd w:val="clear" w:fill="FFFFFF"/>
          <w:lang w:val="en-US" w:eastAsia="zh-CN"/>
        </w:rPr>
        <w:t>具体要求及其他事项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b/>
          <w:bCs/>
          <w:i w:val="0"/>
          <w:iCs w:val="0"/>
          <w:caps w:val="0"/>
          <w:color w:val="000000"/>
          <w:spacing w:val="0"/>
          <w:sz w:val="28"/>
          <w:szCs w:val="28"/>
          <w:shd w:val="clear" w:fill="FFFFFF"/>
          <w:lang w:val="en-US" w:eastAsia="zh-CN"/>
        </w:rPr>
        <w:t>一</w:t>
      </w:r>
      <w:r>
        <w:rPr>
          <w:rFonts w:hint="eastAsia" w:ascii="宋体" w:hAnsi="宋体" w:eastAsia="宋体" w:cs="宋体"/>
          <w:b/>
          <w:bCs/>
          <w:i w:val="0"/>
          <w:iCs w:val="0"/>
          <w:caps w:val="0"/>
          <w:color w:val="000000"/>
          <w:spacing w:val="0"/>
          <w:sz w:val="28"/>
          <w:szCs w:val="28"/>
          <w:shd w:val="clear" w:fill="FFFFFF"/>
        </w:rPr>
        <w:t>、参与比选单位需提交的材料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b/>
          <w:bCs/>
          <w:i w:val="0"/>
          <w:iCs w:val="0"/>
          <w:caps w:val="0"/>
          <w:color w:val="000000"/>
          <w:spacing w:val="0"/>
          <w:sz w:val="28"/>
          <w:szCs w:val="28"/>
          <w:shd w:val="clear" w:fill="FFFFFF"/>
        </w:rPr>
        <w:t>（一）资格证明文件：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、资格声明函（按附件格式提供）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、法定代表人授权书（按附件格式提供）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w:t>
      </w:r>
      <w:r>
        <w:rPr>
          <w:rFonts w:hint="eastAsia" w:ascii="宋体" w:hAnsi="宋体" w:eastAsia="宋体" w:cs="宋体"/>
          <w:i w:val="0"/>
          <w:iCs w:val="0"/>
          <w:caps w:val="0"/>
          <w:color w:val="000000"/>
          <w:spacing w:val="0"/>
          <w:sz w:val="28"/>
          <w:szCs w:val="28"/>
          <w:shd w:val="clear" w:fill="FFFFFF"/>
          <w:lang w:val="en-US" w:eastAsia="zh-CN"/>
        </w:rPr>
        <w:t>应具有政府采购经营范围的社会中介机构且经营稳定，截止遴选时间设立时间不少于五周年，需提供营业执照复印件并加盖公章。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0"/>
        <w:rPr>
          <w:rFonts w:hint="eastAsia" w:ascii="宋体" w:hAnsi="宋体" w:eastAsia="宋体" w:cs="宋体"/>
          <w:i w:val="0"/>
          <w:iCs w:val="0"/>
          <w:caps w:val="0"/>
          <w:color w:val="FF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4、须列入“中国政府采购网福建省分网”代理机构名单，提供中国政府采购网福建分网截图。</w:t>
      </w:r>
      <w:r>
        <w:rPr>
          <w:rFonts w:hint="eastAsia" w:ascii="宋体" w:hAnsi="宋体" w:eastAsia="宋体" w:cs="宋体"/>
          <w:i w:val="0"/>
          <w:iCs w:val="0"/>
          <w:caps w:val="0"/>
          <w:color w:val="FF0000"/>
          <w:spacing w:val="0"/>
          <w:sz w:val="28"/>
          <w:szCs w:val="28"/>
          <w:shd w:val="clear" w:fill="FFFFFF"/>
          <w:lang w:val="en-US" w:eastAsia="zh-CN"/>
        </w:rPr>
        <w:t>考虑到我院采购项目的便利性，招标代理机构或其分支机构地址必须在厦门市。提供地址证明材料，否则不得参与比选。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5、财务状况报告：提供经审计的上一年度或上一季度财务审计报告(如</w:t>
      </w:r>
      <w:r>
        <w:rPr>
          <w:rFonts w:hint="eastAsia" w:ascii="宋体" w:hAnsi="宋体" w:eastAsia="宋体" w:cs="宋体"/>
          <w:i w:val="0"/>
          <w:iCs w:val="0"/>
          <w:caps w:val="0"/>
          <w:color w:val="auto"/>
          <w:spacing w:val="0"/>
          <w:sz w:val="28"/>
          <w:szCs w:val="28"/>
          <w:shd w:val="clear" w:fill="FFFFFF"/>
          <w:lang w:val="en-US" w:eastAsia="zh-CN"/>
        </w:rPr>
        <w:t>提供2023年财务审计报告</w:t>
      </w:r>
      <w:r>
        <w:rPr>
          <w:rFonts w:hint="eastAsia" w:ascii="宋体" w:hAnsi="宋体" w:eastAsia="宋体" w:cs="宋体"/>
          <w:i w:val="0"/>
          <w:iCs w:val="0"/>
          <w:caps w:val="0"/>
          <w:color w:val="000000"/>
          <w:spacing w:val="0"/>
          <w:sz w:val="28"/>
          <w:szCs w:val="28"/>
          <w:shd w:val="clear" w:fill="FFFFFF"/>
          <w:lang w:val="en-US" w:eastAsia="zh-CN"/>
        </w:rPr>
        <w:t>视同认可)，至少包括“资产负债表、利润表、现金流量表”；或者提供开户许可证和比选截止时间前三个月内基本户开户银行出具的资信证明；或者提供财政部门认可的政府采购专业担保机构出具的比选担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6、依法缴纳税收的相关材料：提供比选截止时间前连续12个月（不含投标截止时间的当月）的税收凭据复印件。“依法缴纳税收证明材料”有欠缴记录的，视为未依法缴纳税收。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7、依法缴纳社会保障资金的相关材料：提供比选截止时间前连续12个月（不含比选截止时间的当月）的社会保险凭据复印件。“依法缴纳社会保障资金证明材料”有欠缴记录的，视为未依法缴纳社会保障资金。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8、在参加比选活动前3年内在经营活动中无以下行为的书面声明：重大违法记录，被市财政局釆监处、纪委监察机构、审计等部门列入黑名单，或其他重大不良行为记录。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9、根据《关于在招标投标活动中全面开展行贿犯罪档案查询的通知》规定，</w:t>
      </w:r>
      <w:r>
        <w:rPr>
          <w:rFonts w:hint="eastAsia" w:ascii="宋体" w:hAnsi="宋体" w:eastAsia="宋体" w:cs="宋体"/>
          <w:i w:val="0"/>
          <w:iCs w:val="0"/>
          <w:caps w:val="0"/>
          <w:color w:val="FF0000"/>
          <w:spacing w:val="0"/>
          <w:sz w:val="28"/>
          <w:szCs w:val="28"/>
          <w:shd w:val="clear" w:fill="FFFFFF"/>
          <w:lang w:val="en-US" w:eastAsia="zh-CN"/>
        </w:rPr>
        <w:t>招标代理机构</w:t>
      </w:r>
      <w:r>
        <w:rPr>
          <w:rFonts w:hint="eastAsia" w:ascii="宋体" w:hAnsi="宋体" w:eastAsia="宋体" w:cs="宋体"/>
          <w:i w:val="0"/>
          <w:iCs w:val="0"/>
          <w:caps w:val="0"/>
          <w:color w:val="000000"/>
          <w:spacing w:val="0"/>
          <w:sz w:val="28"/>
          <w:szCs w:val="28"/>
          <w:shd w:val="clear" w:fill="FFFFFF"/>
          <w:lang w:val="en-US" w:eastAsia="zh-CN"/>
        </w:rPr>
        <w:t>不得有行贿犯罪档案记录。各遴选响应</w:t>
      </w:r>
      <w:r>
        <w:rPr>
          <w:rFonts w:hint="eastAsia" w:ascii="宋体" w:hAnsi="宋体" w:eastAsia="宋体" w:cs="宋体"/>
          <w:i w:val="0"/>
          <w:iCs w:val="0"/>
          <w:caps w:val="0"/>
          <w:color w:val="FF0000"/>
          <w:spacing w:val="0"/>
          <w:sz w:val="28"/>
          <w:szCs w:val="28"/>
          <w:shd w:val="clear" w:fill="FFFFFF"/>
          <w:lang w:val="en-US" w:eastAsia="zh-CN"/>
        </w:rPr>
        <w:t>招标代理机构</w:t>
      </w:r>
      <w:r>
        <w:rPr>
          <w:rFonts w:hint="eastAsia" w:ascii="宋体" w:hAnsi="宋体" w:eastAsia="宋体" w:cs="宋体"/>
          <w:i w:val="0"/>
          <w:iCs w:val="0"/>
          <w:caps w:val="0"/>
          <w:color w:val="000000"/>
          <w:spacing w:val="0"/>
          <w:sz w:val="28"/>
          <w:szCs w:val="28"/>
          <w:shd w:val="clear" w:fill="FFFFFF"/>
          <w:lang w:val="en-US" w:eastAsia="zh-CN"/>
        </w:rPr>
        <w:t>应自行通过中国裁判文书（http://wenshu.court.gov.cn）进行查询，并提供查询结果。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10、本项目比选公告发布之日后的信用信息查询结果。对信用信息查询结果中，本项目比选截止时间前3年内</w:t>
      </w:r>
      <w:r>
        <w:rPr>
          <w:rFonts w:hint="eastAsia" w:ascii="宋体" w:hAnsi="宋体" w:eastAsia="宋体" w:cs="宋体"/>
          <w:i w:val="0"/>
          <w:iCs w:val="0"/>
          <w:caps w:val="0"/>
          <w:color w:val="FF0000"/>
          <w:spacing w:val="0"/>
          <w:sz w:val="28"/>
          <w:szCs w:val="28"/>
          <w:shd w:val="clear" w:fill="FFFFFF"/>
          <w:lang w:val="en-US" w:eastAsia="zh-CN"/>
        </w:rPr>
        <w:t>招标代理机构</w:t>
      </w:r>
      <w:r>
        <w:rPr>
          <w:rFonts w:hint="eastAsia" w:ascii="宋体" w:hAnsi="宋体" w:eastAsia="宋体" w:cs="宋体"/>
          <w:i w:val="0"/>
          <w:iCs w:val="0"/>
          <w:caps w:val="0"/>
          <w:color w:val="000000"/>
          <w:spacing w:val="0"/>
          <w:sz w:val="28"/>
          <w:szCs w:val="28"/>
          <w:shd w:val="clear" w:fill="FFFFFF"/>
          <w:lang w:val="en-US" w:eastAsia="zh-CN"/>
        </w:rPr>
        <w:t>在经营活动中有重大违法记录的，不得参与比选（“重大违法记录”指投标人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信用信息查询网站为</w:t>
      </w:r>
      <w:r>
        <w:rPr>
          <w:rFonts w:hint="eastAsia" w:ascii="宋体" w:hAnsi="宋体" w:eastAsia="宋体" w:cs="宋体"/>
          <w:i w:val="0"/>
          <w:iCs w:val="0"/>
          <w:caps w:val="0"/>
          <w:color w:val="auto"/>
          <w:spacing w:val="0"/>
          <w:sz w:val="28"/>
          <w:szCs w:val="28"/>
          <w:shd w:val="clear" w:fill="FFFFFF"/>
          <w:lang w:val="en-US" w:eastAsia="zh-CN"/>
        </w:rPr>
        <w:t>信用中国网站</w:t>
      </w:r>
      <w:r>
        <w:rPr>
          <w:rFonts w:hint="eastAsia" w:ascii="宋体" w:hAnsi="宋体" w:eastAsia="宋体" w:cs="宋体"/>
          <w:i w:val="0"/>
          <w:iCs w:val="0"/>
          <w:caps w:val="0"/>
          <w:color w:val="000000"/>
          <w:spacing w:val="0"/>
          <w:sz w:val="28"/>
          <w:szCs w:val="28"/>
          <w:shd w:val="clear" w:fill="FFFFFF"/>
          <w:lang w:val="en-US" w:eastAsia="zh-CN"/>
        </w:rPr>
        <w:t xml:space="preserve">（www.creditchina.gov.cn）和中国政府采购网（www.ccgp.gov.cn），信用信息查询结果应为从上述2个网站获取的查询结果原始页面的完整打印件。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11、</w:t>
      </w:r>
      <w:r>
        <w:rPr>
          <w:rFonts w:hint="eastAsia" w:ascii="宋体" w:hAnsi="宋体" w:eastAsia="宋体" w:cs="宋体"/>
          <w:i w:val="0"/>
          <w:iCs w:val="0"/>
          <w:caps w:val="0"/>
          <w:color w:val="FF0000"/>
          <w:spacing w:val="0"/>
          <w:sz w:val="28"/>
          <w:szCs w:val="28"/>
          <w:shd w:val="clear" w:fill="FFFFFF"/>
          <w:lang w:val="en-US" w:eastAsia="zh-CN"/>
        </w:rPr>
        <w:t>招标代理机构</w:t>
      </w:r>
      <w:r>
        <w:rPr>
          <w:rFonts w:hint="eastAsia" w:ascii="宋体" w:hAnsi="宋体" w:eastAsia="宋体" w:cs="宋体"/>
          <w:i w:val="0"/>
          <w:iCs w:val="0"/>
          <w:caps w:val="0"/>
          <w:color w:val="000000"/>
          <w:spacing w:val="0"/>
          <w:sz w:val="28"/>
          <w:szCs w:val="28"/>
          <w:shd w:val="clear" w:fill="FFFFFF"/>
          <w:lang w:val="en-US" w:eastAsia="zh-CN"/>
        </w:rPr>
        <w:t>的代理机构综合信用评级等级应在B级及以上且无企业失信标记行为，需提供本项目比选公告发布之日后在福建省政府采购网上公开信息系统查询的“代理机构综合信用评价查询”等级结果,要求将查询结果原始页面完整打印，且应能体现查询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lang w:val="en-US" w:eastAsia="zh-CN"/>
        </w:rPr>
        <w:t>12、</w:t>
      </w:r>
      <w:r>
        <w:rPr>
          <w:rFonts w:hint="eastAsia" w:ascii="宋体" w:hAnsi="宋体" w:eastAsia="宋体" w:cs="宋体"/>
          <w:i w:val="0"/>
          <w:iCs w:val="0"/>
          <w:caps w:val="0"/>
          <w:color w:val="FF0000"/>
          <w:spacing w:val="0"/>
          <w:sz w:val="28"/>
          <w:szCs w:val="28"/>
          <w:shd w:val="clear" w:fill="FFFFFF"/>
          <w:lang w:val="en-US" w:eastAsia="zh-CN"/>
        </w:rPr>
        <w:t>招标代理机构2022年1月1日以来需至少代理过20个及以上政府采购项目（工程类），</w:t>
      </w:r>
      <w:r>
        <w:rPr>
          <w:rFonts w:hint="eastAsia" w:ascii="宋体" w:hAnsi="宋体" w:eastAsia="宋体" w:cs="宋体"/>
          <w:i w:val="0"/>
          <w:iCs w:val="0"/>
          <w:caps w:val="0"/>
          <w:color w:val="auto"/>
          <w:spacing w:val="0"/>
          <w:sz w:val="28"/>
          <w:szCs w:val="28"/>
          <w:shd w:val="clear" w:fill="FFFFFF"/>
          <w:lang w:val="en-US" w:eastAsia="zh-CN"/>
        </w:rPr>
        <w:t>并提供福建省政府采购网或中国政府采购网厦门分网的结果公告截图或打印件。</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b/>
          <w:bCs/>
          <w:i w:val="0"/>
          <w:iCs w:val="0"/>
          <w:caps w:val="0"/>
          <w:color w:val="000000"/>
          <w:spacing w:val="0"/>
          <w:sz w:val="28"/>
          <w:szCs w:val="28"/>
          <w:shd w:val="clear" w:fill="FFFFFF"/>
        </w:rPr>
        <w:t>（二）比选响应材料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１、比选意向函（按附件格式提供）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b/>
          <w:bCs/>
          <w:i w:val="0"/>
          <w:iCs w:val="0"/>
          <w:caps w:val="0"/>
          <w:color w:val="000000"/>
          <w:spacing w:val="0"/>
          <w:sz w:val="28"/>
          <w:szCs w:val="28"/>
          <w:shd w:val="clear" w:fill="FFFFFF"/>
        </w:rPr>
        <w:t>（三）比选评分材料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详见附件（按评分材料要求提供）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备注：参与比选单位提供的材料按评分内容顺序装订成册（报价承诺书不装订），每页均需加盖公章，未加盖公章的材料相应项目不得分。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b/>
          <w:bCs/>
          <w:i w:val="0"/>
          <w:iCs w:val="0"/>
          <w:caps w:val="0"/>
          <w:color w:val="000000"/>
          <w:spacing w:val="0"/>
          <w:sz w:val="28"/>
          <w:szCs w:val="28"/>
          <w:shd w:val="clear" w:fill="FFFFFF"/>
          <w:lang w:val="en-US" w:eastAsia="zh-CN"/>
        </w:rPr>
        <w:t>二</w:t>
      </w:r>
      <w:r>
        <w:rPr>
          <w:rFonts w:hint="eastAsia" w:ascii="宋体" w:hAnsi="宋体" w:eastAsia="宋体" w:cs="宋体"/>
          <w:b/>
          <w:bCs/>
          <w:i w:val="0"/>
          <w:iCs w:val="0"/>
          <w:caps w:val="0"/>
          <w:color w:val="000000"/>
          <w:spacing w:val="0"/>
          <w:sz w:val="28"/>
          <w:szCs w:val="28"/>
          <w:shd w:val="clear" w:fill="FFFFFF"/>
        </w:rPr>
        <w:t>、其他事项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１、本项目以综合评分法对具有实质性响应的参与比选单位进行评选；如不同参与比选单位综合得分一致，则通过随机抽取方式确定排名先后。比选结束后我院将与确定入围的单位签订入围协议，未在规定时限内签订入围协议的视为放弃入围资格，候补代理机构按照排名顺序递补入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2、本次比选入围有效期3年。如遇监管部门出台新规定，依据新规定予以调整。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3、入围单位须根据项目性质，按政府采购或建设工程招标的相关法律法规的规定，精心设计和组织采购人所委托的项目采购工作，提供优良的服务，保证采购计划顺利实施，维护招标采购的社会和经济效益。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微软雅黑" w:hAnsi="微软雅黑" w:eastAsia="微软雅黑" w:cs="微软雅黑"/>
          <w:i w:val="0"/>
          <w:iCs w:val="0"/>
          <w:caps w:val="0"/>
          <w:color w:val="000000"/>
          <w:spacing w:val="0"/>
          <w:sz w:val="14"/>
          <w:szCs w:val="14"/>
        </w:rPr>
      </w:pPr>
      <w:r>
        <w:rPr>
          <w:rFonts w:hint="eastAsia" w:ascii="宋体" w:hAnsi="宋体" w:eastAsia="宋体" w:cs="宋体"/>
          <w:i w:val="0"/>
          <w:iCs w:val="0"/>
          <w:caps w:val="0"/>
          <w:color w:val="000000"/>
          <w:spacing w:val="0"/>
          <w:sz w:val="28"/>
          <w:szCs w:val="28"/>
          <w:shd w:val="clear" w:fill="FFFFFF"/>
        </w:rPr>
        <w:t>4、入围单位在协议期间严格按照承诺的代理服务费收费标准收取代理服务费，具体项目的代理服务费由中标供应商支付。我院将给予日常监督抽查，一经发现未按承诺标准收费的，将取消入围资格。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NmE2ZTg0ZjI0ZGQ4ZmQ0YmQwZGMyOWU5OThmYjQifQ=="/>
  </w:docVars>
  <w:rsids>
    <w:rsidRoot w:val="E7F69A6A"/>
    <w:rsid w:val="019B2921"/>
    <w:rsid w:val="08330A59"/>
    <w:rsid w:val="10CF32FA"/>
    <w:rsid w:val="1E4456E6"/>
    <w:rsid w:val="227C0F48"/>
    <w:rsid w:val="22B91715"/>
    <w:rsid w:val="285D104A"/>
    <w:rsid w:val="2B9A23CA"/>
    <w:rsid w:val="2BC04AB7"/>
    <w:rsid w:val="2DAE1FD2"/>
    <w:rsid w:val="3AB46C84"/>
    <w:rsid w:val="3E66679D"/>
    <w:rsid w:val="53762B86"/>
    <w:rsid w:val="5A9B2ED2"/>
    <w:rsid w:val="6D7D4DE5"/>
    <w:rsid w:val="767145AA"/>
    <w:rsid w:val="7ED05499"/>
    <w:rsid w:val="E7F69A6A"/>
    <w:rsid w:val="FBFF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color w:val="FF0000"/>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2024-04-15T17:46:00Z</dcterms:created>
  <dc:creator>康健</dc:creator>
  <cp:lastModifiedBy>x</cp:lastModifiedBy>
  <cp:lastPrinted>2024-05-11T02:25:36Z</cp:lastPrinted>
  <dcterms:modified xsi:type="dcterms:W3CDTF">2024-05-11T02:57:25Z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C8026A5A8914DAED1D921C666B0E9A8F</vt:lpwstr>
  </property>
</Properties>
</file>